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2E" w:rsidRDefault="006D51AE">
      <w:r>
        <w:t>Planungsskizze Walser Kindertag 2018, 18.11.2018</w:t>
      </w:r>
    </w:p>
    <w:p w:rsidR="006D51AE" w:rsidRDefault="006D51AE">
      <w:r>
        <w:t xml:space="preserve">Kreuzkirche </w:t>
      </w:r>
    </w:p>
    <w:p w:rsidR="006D51AE" w:rsidRDefault="006D51AE">
      <w:r>
        <w:t>Besonderheit: Am Sonntag ist Volkstrauertag. Der Gottesdienst der Kreuzkirche findet in der Nebensaison a</w:t>
      </w:r>
      <w:r w:rsidR="002F5E5D">
        <w:t>m Samstagabend um 19 Uhr statt.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1"/>
        <w:gridCol w:w="1507"/>
        <w:gridCol w:w="1553"/>
        <w:gridCol w:w="1316"/>
        <w:gridCol w:w="1885"/>
        <w:gridCol w:w="2776"/>
      </w:tblGrid>
      <w:tr w:rsidR="00FA6CFC" w:rsidRPr="002F5E5D" w:rsidTr="002F5E5D">
        <w:tc>
          <w:tcPr>
            <w:tcW w:w="1561" w:type="dxa"/>
          </w:tcPr>
          <w:p w:rsidR="006D51AE" w:rsidRPr="002F5E5D" w:rsidRDefault="006D51AE">
            <w:pPr>
              <w:rPr>
                <w:rFonts w:cstheme="minorHAnsi"/>
                <w:b/>
                <w:sz w:val="20"/>
                <w:szCs w:val="20"/>
              </w:rPr>
            </w:pPr>
            <w:r w:rsidRPr="002F5E5D">
              <w:rPr>
                <w:rFonts w:cstheme="minorHAnsi"/>
                <w:b/>
                <w:sz w:val="20"/>
                <w:szCs w:val="20"/>
              </w:rPr>
              <w:t>Aktion</w:t>
            </w:r>
          </w:p>
        </w:tc>
        <w:tc>
          <w:tcPr>
            <w:tcW w:w="1507" w:type="dxa"/>
          </w:tcPr>
          <w:p w:rsidR="006D51AE" w:rsidRPr="002F5E5D" w:rsidRDefault="006D51AE">
            <w:pPr>
              <w:rPr>
                <w:rFonts w:cstheme="minorHAnsi"/>
                <w:b/>
                <w:sz w:val="20"/>
                <w:szCs w:val="20"/>
              </w:rPr>
            </w:pPr>
            <w:r w:rsidRPr="002F5E5D">
              <w:rPr>
                <w:rFonts w:cstheme="minorHAnsi"/>
                <w:b/>
                <w:sz w:val="20"/>
                <w:szCs w:val="20"/>
              </w:rPr>
              <w:t>Zeit</w:t>
            </w:r>
          </w:p>
        </w:tc>
        <w:tc>
          <w:tcPr>
            <w:tcW w:w="1553" w:type="dxa"/>
          </w:tcPr>
          <w:p w:rsidR="006D51AE" w:rsidRPr="002F5E5D" w:rsidRDefault="006D51AE">
            <w:pPr>
              <w:rPr>
                <w:rFonts w:cstheme="minorHAnsi"/>
                <w:b/>
                <w:sz w:val="20"/>
                <w:szCs w:val="20"/>
              </w:rPr>
            </w:pPr>
            <w:r w:rsidRPr="002F5E5D">
              <w:rPr>
                <w:rFonts w:cstheme="minorHAnsi"/>
                <w:b/>
                <w:sz w:val="20"/>
                <w:szCs w:val="20"/>
              </w:rPr>
              <w:t>Verantwortlich</w:t>
            </w:r>
          </w:p>
        </w:tc>
        <w:tc>
          <w:tcPr>
            <w:tcW w:w="1316" w:type="dxa"/>
          </w:tcPr>
          <w:p w:rsidR="006D51AE" w:rsidRPr="002F5E5D" w:rsidRDefault="006D51AE">
            <w:pPr>
              <w:rPr>
                <w:rFonts w:cstheme="minorHAnsi"/>
                <w:b/>
                <w:sz w:val="20"/>
                <w:szCs w:val="20"/>
              </w:rPr>
            </w:pPr>
            <w:r w:rsidRPr="002F5E5D">
              <w:rPr>
                <w:rFonts w:cstheme="minorHAnsi"/>
                <w:b/>
                <w:sz w:val="20"/>
                <w:szCs w:val="20"/>
              </w:rPr>
              <w:t>Raumbedarf</w:t>
            </w:r>
          </w:p>
        </w:tc>
        <w:tc>
          <w:tcPr>
            <w:tcW w:w="1885" w:type="dxa"/>
          </w:tcPr>
          <w:p w:rsidR="006D51AE" w:rsidRPr="002F5E5D" w:rsidRDefault="006D51AE">
            <w:pPr>
              <w:rPr>
                <w:rFonts w:cstheme="minorHAnsi"/>
                <w:b/>
                <w:sz w:val="20"/>
                <w:szCs w:val="20"/>
              </w:rPr>
            </w:pPr>
            <w:r w:rsidRPr="002F5E5D">
              <w:rPr>
                <w:rFonts w:cstheme="minorHAnsi"/>
                <w:b/>
                <w:sz w:val="20"/>
                <w:szCs w:val="20"/>
              </w:rPr>
              <w:t>Inhalt und Material</w:t>
            </w:r>
          </w:p>
        </w:tc>
        <w:tc>
          <w:tcPr>
            <w:tcW w:w="2776" w:type="dxa"/>
          </w:tcPr>
          <w:p w:rsidR="006D51AE" w:rsidRPr="002F5E5D" w:rsidRDefault="006D51AE">
            <w:pPr>
              <w:rPr>
                <w:rFonts w:cstheme="minorHAnsi"/>
                <w:b/>
                <w:sz w:val="20"/>
                <w:szCs w:val="20"/>
              </w:rPr>
            </w:pPr>
            <w:r w:rsidRPr="002F5E5D">
              <w:rPr>
                <w:rFonts w:cstheme="minorHAnsi"/>
                <w:b/>
                <w:sz w:val="20"/>
                <w:szCs w:val="20"/>
              </w:rPr>
              <w:t xml:space="preserve">Sonstiges </w:t>
            </w:r>
          </w:p>
        </w:tc>
      </w:tr>
      <w:tr w:rsidR="00FA6CFC" w:rsidRPr="002F5E5D" w:rsidTr="002F5E5D">
        <w:tc>
          <w:tcPr>
            <w:tcW w:w="1561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Abendandacht „Wenn Kinder trauern“</w:t>
            </w:r>
          </w:p>
        </w:tc>
        <w:tc>
          <w:tcPr>
            <w:tcW w:w="1507" w:type="dxa"/>
          </w:tcPr>
          <w:p w:rsid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 xml:space="preserve">Samstag, </w:t>
            </w:r>
          </w:p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19 Uhr</w:t>
            </w:r>
          </w:p>
        </w:tc>
        <w:tc>
          <w:tcPr>
            <w:tcW w:w="1553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Frank Witzel</w:t>
            </w:r>
          </w:p>
        </w:tc>
        <w:tc>
          <w:tcPr>
            <w:tcW w:w="1316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Kreuzkirche</w:t>
            </w:r>
          </w:p>
        </w:tc>
        <w:tc>
          <w:tcPr>
            <w:tcW w:w="1885" w:type="dxa"/>
          </w:tcPr>
          <w:p w:rsidR="006D51AE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Eigene reflektierte Erfahrungen</w:t>
            </w:r>
            <w:r w:rsidR="00C14551">
              <w:rPr>
                <w:rFonts w:cstheme="minorHAnsi"/>
                <w:sz w:val="20"/>
                <w:szCs w:val="20"/>
              </w:rPr>
              <w:t>,</w:t>
            </w:r>
          </w:p>
          <w:p w:rsidR="00C14551" w:rsidRPr="002F5E5D" w:rsidRDefault="00C145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Verknüpfung mit Volkstrauertag und Ewigkeitssonntag</w:t>
            </w:r>
          </w:p>
        </w:tc>
        <w:tc>
          <w:tcPr>
            <w:tcW w:w="2776" w:type="dxa"/>
          </w:tcPr>
          <w:p w:rsidR="006D51AE" w:rsidRPr="002F5E5D" w:rsidRDefault="006D51AE" w:rsidP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 xml:space="preserve">Wenn Kinder trauern, </w:t>
            </w:r>
            <w:proofErr w:type="gramStart"/>
            <w:r w:rsidRPr="002F5E5D">
              <w:rPr>
                <w:rFonts w:cstheme="minorHAnsi"/>
                <w:sz w:val="20"/>
                <w:szCs w:val="20"/>
              </w:rPr>
              <w:t>ist</w:t>
            </w:r>
            <w:proofErr w:type="gramEnd"/>
            <w:r w:rsidRPr="002F5E5D">
              <w:rPr>
                <w:rFonts w:cstheme="minorHAnsi"/>
                <w:sz w:val="20"/>
                <w:szCs w:val="20"/>
              </w:rPr>
              <w:t xml:space="preserve"> die Kompetenz der Erwachsenen zur Trauer und der Zugang zu eigenen Ressourcen wichtig, dann die Kompetenz zur sprachlichen Übersetzung der gefundenen Antworten. Vorsicht vor eine Umkehrung des Ressourcenflusses!</w:t>
            </w:r>
          </w:p>
        </w:tc>
      </w:tr>
      <w:tr w:rsidR="00FA6CFC" w:rsidRPr="002F5E5D" w:rsidTr="002F5E5D">
        <w:tc>
          <w:tcPr>
            <w:tcW w:w="1561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6CFC" w:rsidRPr="002F5E5D" w:rsidTr="002F5E5D">
        <w:tc>
          <w:tcPr>
            <w:tcW w:w="1561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Kerzenbasteln zur Tauferinnerung</w:t>
            </w:r>
          </w:p>
        </w:tc>
        <w:tc>
          <w:tcPr>
            <w:tcW w:w="1507" w:type="dxa"/>
          </w:tcPr>
          <w:p w:rsid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 xml:space="preserve">Sonntag, </w:t>
            </w:r>
          </w:p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ab 10 Uhr</w:t>
            </w:r>
            <w:r w:rsidR="00FA6CFC" w:rsidRPr="002F5E5D">
              <w:rPr>
                <w:rFonts w:cstheme="minorHAnsi"/>
                <w:sz w:val="20"/>
                <w:szCs w:val="20"/>
              </w:rPr>
              <w:t>, kann parallel zu anderen Aktionsformen angeboten werden</w:t>
            </w:r>
            <w:r w:rsidRPr="002F5E5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Frank Witzel und N.N.</w:t>
            </w:r>
          </w:p>
        </w:tc>
        <w:tc>
          <w:tcPr>
            <w:tcW w:w="1316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 xml:space="preserve">Stand mit Tischen und Stühlen im </w:t>
            </w:r>
            <w:proofErr w:type="spellStart"/>
            <w:r w:rsidRPr="002F5E5D">
              <w:rPr>
                <w:rFonts w:cstheme="minorHAnsi"/>
                <w:sz w:val="20"/>
                <w:szCs w:val="20"/>
              </w:rPr>
              <w:t>Walserhaus</w:t>
            </w:r>
            <w:proofErr w:type="spellEnd"/>
          </w:p>
        </w:tc>
        <w:tc>
          <w:tcPr>
            <w:tcW w:w="1885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Kerzen in verschiedenen Formen,</w:t>
            </w:r>
          </w:p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Farbige Wachsplatten</w:t>
            </w:r>
          </w:p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Unterlagen</w:t>
            </w:r>
          </w:p>
          <w:p w:rsidR="006D51AE" w:rsidRPr="002F5E5D" w:rsidRDefault="006D51AE" w:rsidP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Spezialstifte</w:t>
            </w:r>
          </w:p>
        </w:tc>
        <w:tc>
          <w:tcPr>
            <w:tcW w:w="2776" w:type="dxa"/>
          </w:tcPr>
          <w:p w:rsidR="006D51AE" w:rsidRPr="002F5E5D" w:rsidRDefault="006D51AE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Kuschelecke wäre sehr gut</w:t>
            </w:r>
          </w:p>
        </w:tc>
      </w:tr>
      <w:tr w:rsidR="00FA6CFC" w:rsidRPr="002F5E5D" w:rsidTr="002F5E5D">
        <w:tc>
          <w:tcPr>
            <w:tcW w:w="1561" w:type="dxa"/>
          </w:tcPr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Kinder-</w:t>
            </w:r>
            <w:proofErr w:type="spellStart"/>
            <w:r w:rsidRPr="002F5E5D">
              <w:rPr>
                <w:rFonts w:cstheme="minorHAnsi"/>
                <w:sz w:val="20"/>
                <w:szCs w:val="20"/>
              </w:rPr>
              <w:t>Mutmach</w:t>
            </w:r>
            <w:proofErr w:type="spellEnd"/>
            <w:r w:rsidRPr="002F5E5D">
              <w:rPr>
                <w:rFonts w:cstheme="minorHAnsi"/>
                <w:sz w:val="20"/>
                <w:szCs w:val="20"/>
              </w:rPr>
              <w:t>-Lieder</w:t>
            </w:r>
          </w:p>
        </w:tc>
        <w:tc>
          <w:tcPr>
            <w:tcW w:w="1507" w:type="dxa"/>
          </w:tcPr>
          <w:p w:rsidR="002F5E5D" w:rsidRDefault="00FA6CFC" w:rsidP="00FF168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 xml:space="preserve">Sonntag, </w:t>
            </w:r>
          </w:p>
          <w:p w:rsidR="00FA6CFC" w:rsidRPr="002F5E5D" w:rsidRDefault="00FA6CFC" w:rsidP="00FF168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ab 10 Uhr im Wechsel mit anderen Aktionsformen</w:t>
            </w:r>
          </w:p>
        </w:tc>
        <w:tc>
          <w:tcPr>
            <w:tcW w:w="1553" w:type="dxa"/>
          </w:tcPr>
          <w:p w:rsidR="00FA6CFC" w:rsidRPr="002F5E5D" w:rsidRDefault="00FA6CFC" w:rsidP="00FF168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Frank Witzel und N.N.</w:t>
            </w:r>
          </w:p>
        </w:tc>
        <w:tc>
          <w:tcPr>
            <w:tcW w:w="1316" w:type="dxa"/>
          </w:tcPr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Stuhlkreis</w:t>
            </w:r>
          </w:p>
        </w:tc>
        <w:tc>
          <w:tcPr>
            <w:tcW w:w="1885" w:type="dxa"/>
          </w:tcPr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Gitarre und Liedhefte</w:t>
            </w:r>
          </w:p>
        </w:tc>
        <w:tc>
          <w:tcPr>
            <w:tcW w:w="2776" w:type="dxa"/>
          </w:tcPr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6CFC" w:rsidRPr="002F5E5D" w:rsidTr="002F5E5D">
        <w:tc>
          <w:tcPr>
            <w:tcW w:w="1561" w:type="dxa"/>
          </w:tcPr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Vorlesen</w:t>
            </w:r>
          </w:p>
        </w:tc>
        <w:tc>
          <w:tcPr>
            <w:tcW w:w="1507" w:type="dxa"/>
          </w:tcPr>
          <w:p w:rsidR="002F5E5D" w:rsidRDefault="00FA6CFC" w:rsidP="00FF168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 xml:space="preserve">Sonntag, </w:t>
            </w:r>
          </w:p>
          <w:p w:rsidR="00FA6CFC" w:rsidRPr="002F5E5D" w:rsidRDefault="00FA6CFC" w:rsidP="00FF168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ab 10 Uhr im Wechsel mit anderen Aktionsformen</w:t>
            </w:r>
          </w:p>
        </w:tc>
        <w:tc>
          <w:tcPr>
            <w:tcW w:w="1553" w:type="dxa"/>
          </w:tcPr>
          <w:p w:rsidR="00FA6CFC" w:rsidRPr="002F5E5D" w:rsidRDefault="00FA6CFC" w:rsidP="00FF168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Frank Witzel und N.N.</w:t>
            </w:r>
          </w:p>
        </w:tc>
        <w:tc>
          <w:tcPr>
            <w:tcW w:w="1316" w:type="dxa"/>
          </w:tcPr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Stuhlkreis</w:t>
            </w:r>
          </w:p>
        </w:tc>
        <w:tc>
          <w:tcPr>
            <w:tcW w:w="1885" w:type="dxa"/>
          </w:tcPr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Schmitt: Oskar und die Dame in Rosa;</w:t>
            </w:r>
          </w:p>
          <w:p w:rsidR="00C14551" w:rsidRDefault="00C14551">
            <w:pPr>
              <w:rPr>
                <w:rFonts w:cstheme="minorHAnsi"/>
                <w:sz w:val="20"/>
                <w:szCs w:val="20"/>
              </w:rPr>
            </w:pPr>
          </w:p>
          <w:p w:rsidR="00FA6CFC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Kinderbibel</w:t>
            </w:r>
          </w:p>
          <w:p w:rsidR="00904809" w:rsidRDefault="00904809">
            <w:pPr>
              <w:rPr>
                <w:rFonts w:cstheme="minorHAnsi"/>
                <w:sz w:val="20"/>
                <w:szCs w:val="20"/>
              </w:rPr>
            </w:pPr>
          </w:p>
          <w:p w:rsidR="00904809" w:rsidRDefault="009048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Anna Wills, Nora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Tomm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theme="minorHAnsi"/>
                <w:sz w:val="20"/>
                <w:szCs w:val="20"/>
              </w:rPr>
              <w:t>Wimmelbuch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der Weltreligionen</w:t>
            </w:r>
          </w:p>
          <w:p w:rsidR="00904809" w:rsidRDefault="00904809">
            <w:pPr>
              <w:rPr>
                <w:rFonts w:cstheme="minorHAnsi"/>
                <w:sz w:val="20"/>
                <w:szCs w:val="20"/>
              </w:rPr>
            </w:pPr>
          </w:p>
          <w:p w:rsidR="00904809" w:rsidRPr="002F5E5D" w:rsidRDefault="009048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Peter Spier: Menschen</w:t>
            </w:r>
          </w:p>
        </w:tc>
        <w:tc>
          <w:tcPr>
            <w:tcW w:w="2776" w:type="dxa"/>
          </w:tcPr>
          <w:p w:rsidR="00FA6CFC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Bezug zur Abendandacht am Samstag</w:t>
            </w:r>
          </w:p>
          <w:p w:rsidR="00C14551" w:rsidRDefault="00C14551">
            <w:pPr>
              <w:rPr>
                <w:rFonts w:cstheme="minorHAnsi"/>
                <w:sz w:val="20"/>
                <w:szCs w:val="20"/>
              </w:rPr>
            </w:pPr>
          </w:p>
          <w:p w:rsidR="00C14551" w:rsidRPr="002F5E5D" w:rsidRDefault="00C145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Neurobiologen, Bindungsforscher und Entwicklungspsychologen empfehlen eine Vorlesekultur für Kinder.  </w:t>
            </w:r>
          </w:p>
        </w:tc>
      </w:tr>
      <w:tr w:rsidR="00FA6CFC" w:rsidRPr="002F5E5D" w:rsidTr="002F5E5D">
        <w:tc>
          <w:tcPr>
            <w:tcW w:w="1561" w:type="dxa"/>
          </w:tcPr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F5E5D">
              <w:rPr>
                <w:rFonts w:cstheme="minorHAnsi"/>
                <w:sz w:val="20"/>
                <w:szCs w:val="20"/>
              </w:rPr>
              <w:t>Infoecke</w:t>
            </w:r>
            <w:proofErr w:type="spellEnd"/>
            <w:r w:rsidRPr="002F5E5D">
              <w:rPr>
                <w:rFonts w:cstheme="minorHAnsi"/>
                <w:sz w:val="20"/>
                <w:szCs w:val="20"/>
              </w:rPr>
              <w:t xml:space="preserve"> Kreuzkirche</w:t>
            </w:r>
          </w:p>
        </w:tc>
        <w:tc>
          <w:tcPr>
            <w:tcW w:w="1507" w:type="dxa"/>
          </w:tcPr>
          <w:p w:rsidR="002F5E5D" w:rsidRDefault="00FA6CFC" w:rsidP="00FF168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 xml:space="preserve">Sonntag, </w:t>
            </w:r>
          </w:p>
          <w:p w:rsidR="00FA6CFC" w:rsidRPr="002F5E5D" w:rsidRDefault="00FA6CFC" w:rsidP="00FF168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 xml:space="preserve">ab 10 Uhr, kann parallel zu anderen Aktionsformen angeboten werden </w:t>
            </w:r>
          </w:p>
        </w:tc>
        <w:tc>
          <w:tcPr>
            <w:tcW w:w="1553" w:type="dxa"/>
          </w:tcPr>
          <w:p w:rsidR="00FA6CFC" w:rsidRPr="002F5E5D" w:rsidRDefault="00FA6CFC" w:rsidP="00FF168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Frank Witzel und N.N.</w:t>
            </w:r>
          </w:p>
        </w:tc>
        <w:tc>
          <w:tcPr>
            <w:tcW w:w="1316" w:type="dxa"/>
          </w:tcPr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Tische</w:t>
            </w:r>
          </w:p>
        </w:tc>
        <w:tc>
          <w:tcPr>
            <w:tcW w:w="1885" w:type="dxa"/>
          </w:tcPr>
          <w:p w:rsidR="00C14551" w:rsidRDefault="00FA6CFC" w:rsidP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Gemeindebriefe, Literatur</w:t>
            </w:r>
            <w:r w:rsidR="00C14551">
              <w:rPr>
                <w:rFonts w:cstheme="minorHAnsi"/>
                <w:sz w:val="20"/>
                <w:szCs w:val="20"/>
              </w:rPr>
              <w:t xml:space="preserve"> zum Thema</w:t>
            </w:r>
            <w:r w:rsidRPr="002F5E5D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C14551" w:rsidRDefault="00FA6CFC" w:rsidP="00FA6CF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F5E5D">
              <w:rPr>
                <w:rFonts w:cstheme="minorHAnsi"/>
                <w:sz w:val="20"/>
                <w:szCs w:val="20"/>
              </w:rPr>
              <w:t>Give-aways</w:t>
            </w:r>
            <w:proofErr w:type="spellEnd"/>
            <w:r w:rsidRPr="002F5E5D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FA6CFC" w:rsidRPr="002F5E5D" w:rsidRDefault="00FA6CFC" w:rsidP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Laptop mit Internetzugang zu www.kleinwalsertal-evangelisch.de</w:t>
            </w:r>
          </w:p>
        </w:tc>
        <w:tc>
          <w:tcPr>
            <w:tcW w:w="2776" w:type="dxa"/>
          </w:tcPr>
          <w:p w:rsidR="00FA6CFC" w:rsidRPr="002F5E5D" w:rsidRDefault="00C145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Zettel und Stifte für Literaturhinweise</w:t>
            </w:r>
          </w:p>
        </w:tc>
      </w:tr>
      <w:tr w:rsidR="00FA6CFC" w:rsidRPr="002F5E5D" w:rsidTr="002F5E5D">
        <w:tc>
          <w:tcPr>
            <w:tcW w:w="1561" w:type="dxa"/>
          </w:tcPr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Workshop: Bibelquiz</w:t>
            </w:r>
          </w:p>
        </w:tc>
        <w:tc>
          <w:tcPr>
            <w:tcW w:w="1507" w:type="dxa"/>
          </w:tcPr>
          <w:p w:rsidR="002F5E5D" w:rsidRDefault="00FA6CFC" w:rsidP="00FF168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 xml:space="preserve">Sonntag, </w:t>
            </w:r>
          </w:p>
          <w:p w:rsidR="00FA6CFC" w:rsidRPr="002F5E5D" w:rsidRDefault="00FA6CFC" w:rsidP="00FF168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ab 10 Uhr im Wechsel mit anderen Aktionsformen</w:t>
            </w:r>
          </w:p>
        </w:tc>
        <w:tc>
          <w:tcPr>
            <w:tcW w:w="1553" w:type="dxa"/>
          </w:tcPr>
          <w:p w:rsidR="00FA6CFC" w:rsidRPr="002F5E5D" w:rsidRDefault="00FA6CFC" w:rsidP="00FF168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Frank Witzel und N.N.</w:t>
            </w:r>
          </w:p>
        </w:tc>
        <w:tc>
          <w:tcPr>
            <w:tcW w:w="1316" w:type="dxa"/>
          </w:tcPr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 xml:space="preserve">Stühle, Stifte. </w:t>
            </w:r>
            <w:proofErr w:type="spellStart"/>
            <w:r w:rsidRPr="002F5E5D">
              <w:rPr>
                <w:rFonts w:cstheme="minorHAnsi"/>
                <w:sz w:val="20"/>
                <w:szCs w:val="20"/>
              </w:rPr>
              <w:t>flipchart</w:t>
            </w:r>
            <w:proofErr w:type="spellEnd"/>
          </w:p>
        </w:tc>
        <w:tc>
          <w:tcPr>
            <w:tcW w:w="1885" w:type="dxa"/>
          </w:tcPr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„Was weißt du von der Bibel. 60 clevere Rätselfragen“, Herder-Verlag. ISBN 978-3-451-71023-0</w:t>
            </w:r>
          </w:p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</w:p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Kleingewinne</w:t>
            </w:r>
          </w:p>
        </w:tc>
        <w:tc>
          <w:tcPr>
            <w:tcW w:w="2776" w:type="dxa"/>
          </w:tcPr>
          <w:p w:rsidR="00FA6CFC" w:rsidRPr="002F5E5D" w:rsidRDefault="00FA6CFC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Für Kinder ab 3 Jahren empfohlen</w:t>
            </w:r>
          </w:p>
        </w:tc>
      </w:tr>
      <w:tr w:rsidR="007A203C" w:rsidRPr="002F5E5D" w:rsidTr="002F5E5D">
        <w:tc>
          <w:tcPr>
            <w:tcW w:w="1561" w:type="dxa"/>
          </w:tcPr>
          <w:p w:rsidR="007A203C" w:rsidRPr="002F5E5D" w:rsidRDefault="007A20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Tower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Power für Kinder</w:t>
            </w:r>
          </w:p>
        </w:tc>
        <w:tc>
          <w:tcPr>
            <w:tcW w:w="1507" w:type="dxa"/>
          </w:tcPr>
          <w:p w:rsidR="007A203C" w:rsidRDefault="007A203C" w:rsidP="00C45F33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 xml:space="preserve">Sonntag, </w:t>
            </w:r>
          </w:p>
          <w:p w:rsidR="007A203C" w:rsidRPr="002F5E5D" w:rsidRDefault="007A203C" w:rsidP="00C45F33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ab 10 Uhr im Wechsel mit anderen Aktionsformen</w:t>
            </w:r>
          </w:p>
        </w:tc>
        <w:tc>
          <w:tcPr>
            <w:tcW w:w="1553" w:type="dxa"/>
          </w:tcPr>
          <w:p w:rsidR="007A203C" w:rsidRPr="002F5E5D" w:rsidRDefault="007A203C" w:rsidP="00C45F33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Frank Witzel und N.N.</w:t>
            </w:r>
          </w:p>
        </w:tc>
        <w:tc>
          <w:tcPr>
            <w:tcW w:w="1316" w:type="dxa"/>
          </w:tcPr>
          <w:p w:rsidR="007A203C" w:rsidRPr="002F5E5D" w:rsidRDefault="007A20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Raum oder Fläche ca. 5 m x 5 m</w:t>
            </w:r>
          </w:p>
        </w:tc>
        <w:tc>
          <w:tcPr>
            <w:tcW w:w="1885" w:type="dxa"/>
          </w:tcPr>
          <w:p w:rsidR="007A203C" w:rsidRPr="002F5E5D" w:rsidRDefault="007A20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Tower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Power</w:t>
            </w:r>
          </w:p>
        </w:tc>
        <w:tc>
          <w:tcPr>
            <w:tcW w:w="2776" w:type="dxa"/>
          </w:tcPr>
          <w:p w:rsidR="007A203C" w:rsidRPr="002F5E5D" w:rsidRDefault="007A20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Achtsamkeitsübung</w:t>
            </w:r>
          </w:p>
        </w:tc>
      </w:tr>
      <w:tr w:rsidR="007A203C" w:rsidRPr="002F5E5D" w:rsidTr="00C45F33">
        <w:tc>
          <w:tcPr>
            <w:tcW w:w="1561" w:type="dxa"/>
          </w:tcPr>
          <w:p w:rsidR="007A203C" w:rsidRPr="002F5E5D" w:rsidRDefault="007A203C" w:rsidP="00C45F33">
            <w:pPr>
              <w:rPr>
                <w:rFonts w:cstheme="minorHAnsi"/>
                <w:sz w:val="20"/>
                <w:szCs w:val="20"/>
              </w:rPr>
            </w:pPr>
            <w:bookmarkStart w:id="0" w:name="_GoBack" w:colFirst="5" w:colLast="5"/>
            <w:r>
              <w:rPr>
                <w:rFonts w:cstheme="minorHAnsi"/>
                <w:sz w:val="20"/>
                <w:szCs w:val="20"/>
              </w:rPr>
              <w:lastRenderedPageBreak/>
              <w:t xml:space="preserve">Tower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Power</w:t>
            </w:r>
            <w:r>
              <w:rPr>
                <w:rFonts w:cstheme="minorHAnsi"/>
                <w:sz w:val="20"/>
                <w:szCs w:val="20"/>
              </w:rPr>
              <w:t xml:space="preserve"> für Kinder und Eltern gemischt</w:t>
            </w:r>
          </w:p>
        </w:tc>
        <w:tc>
          <w:tcPr>
            <w:tcW w:w="1507" w:type="dxa"/>
          </w:tcPr>
          <w:p w:rsidR="007A203C" w:rsidRDefault="007A203C" w:rsidP="00C45F33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 xml:space="preserve">Sonntag, </w:t>
            </w:r>
          </w:p>
          <w:p w:rsidR="007A203C" w:rsidRPr="002F5E5D" w:rsidRDefault="007A203C" w:rsidP="00C45F33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ab 10 Uhr im Wechsel mit anderen Aktionsformen</w:t>
            </w:r>
          </w:p>
        </w:tc>
        <w:tc>
          <w:tcPr>
            <w:tcW w:w="1553" w:type="dxa"/>
          </w:tcPr>
          <w:p w:rsidR="007A203C" w:rsidRPr="002F5E5D" w:rsidRDefault="007A203C" w:rsidP="00C45F33">
            <w:pPr>
              <w:rPr>
                <w:rFonts w:cstheme="minorHAnsi"/>
                <w:sz w:val="20"/>
                <w:szCs w:val="20"/>
              </w:rPr>
            </w:pPr>
            <w:r w:rsidRPr="002F5E5D">
              <w:rPr>
                <w:rFonts w:cstheme="minorHAnsi"/>
                <w:sz w:val="20"/>
                <w:szCs w:val="20"/>
              </w:rPr>
              <w:t>Frank Witzel und N.N.</w:t>
            </w:r>
          </w:p>
        </w:tc>
        <w:tc>
          <w:tcPr>
            <w:tcW w:w="1316" w:type="dxa"/>
          </w:tcPr>
          <w:p w:rsidR="007A203C" w:rsidRPr="002F5E5D" w:rsidRDefault="007A203C" w:rsidP="00C45F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Raum oder Fläche ca. 5 m x 5 m</w:t>
            </w:r>
          </w:p>
        </w:tc>
        <w:tc>
          <w:tcPr>
            <w:tcW w:w="1885" w:type="dxa"/>
          </w:tcPr>
          <w:p w:rsidR="007A203C" w:rsidRPr="002F5E5D" w:rsidRDefault="007A203C" w:rsidP="00C45F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Tower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Power</w:t>
            </w:r>
          </w:p>
        </w:tc>
        <w:tc>
          <w:tcPr>
            <w:tcW w:w="2776" w:type="dxa"/>
          </w:tcPr>
          <w:p w:rsidR="007A203C" w:rsidRPr="002F5E5D" w:rsidRDefault="007A203C" w:rsidP="00C45F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Achtsamkeitsübung</w:t>
            </w:r>
          </w:p>
        </w:tc>
      </w:tr>
      <w:bookmarkEnd w:id="0"/>
      <w:tr w:rsidR="007A203C" w:rsidRPr="002F5E5D" w:rsidTr="002F5E5D">
        <w:tc>
          <w:tcPr>
            <w:tcW w:w="1561" w:type="dxa"/>
          </w:tcPr>
          <w:p w:rsidR="007A203C" w:rsidRPr="002F5E5D" w:rsidRDefault="007A20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</w:tcPr>
          <w:p w:rsidR="007A203C" w:rsidRPr="002F5E5D" w:rsidRDefault="007A20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:rsidR="007A203C" w:rsidRPr="002F5E5D" w:rsidRDefault="007A20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7A203C" w:rsidRPr="002F5E5D" w:rsidRDefault="007A20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:rsidR="007A203C" w:rsidRPr="002F5E5D" w:rsidRDefault="007A20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:rsidR="007A203C" w:rsidRPr="002F5E5D" w:rsidRDefault="007A203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D51AE" w:rsidRPr="002F5E5D" w:rsidRDefault="006D51AE">
      <w:pPr>
        <w:rPr>
          <w:rFonts w:cstheme="minorHAnsi"/>
          <w:sz w:val="20"/>
          <w:szCs w:val="20"/>
        </w:rPr>
      </w:pPr>
    </w:p>
    <w:sectPr w:rsidR="006D51AE" w:rsidRPr="002F5E5D" w:rsidSect="002F5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AE"/>
    <w:rsid w:val="002F5E5D"/>
    <w:rsid w:val="006D51AE"/>
    <w:rsid w:val="007A203C"/>
    <w:rsid w:val="008616AE"/>
    <w:rsid w:val="00904809"/>
    <w:rsid w:val="00C0702E"/>
    <w:rsid w:val="00C14551"/>
    <w:rsid w:val="00F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2018-01-24T12:30:00Z</dcterms:created>
  <dcterms:modified xsi:type="dcterms:W3CDTF">2018-02-13T12:43:00Z</dcterms:modified>
</cp:coreProperties>
</file>